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中国文化企业动态竞争战略研究  制度、网络与创新</w:t>
      </w:r>
    </w:p>
    <w:p>
      <w:r>
        <w:rPr>
          <w:rFonts w:ascii="宋体" w:hAnsi="宋体" w:eastAsia="宋体"/>
          <w:sz w:val="24"/>
        </w:rPr>
        <w:t>皮圣雷著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中国文化企业动态竞争战略研究  制度、网络与创新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本书出售、求购地址：https://www.jiaokey.com/book/detail/14242499.html</w:t>
      </w:r>
    </w:p>
    <w:p>
      <w:r>
        <w:t>更多相关图书推荐：https://www.jiaokey.com</w:t>
      </w:r>
    </w:p>
    <w:p>
      <w:r>
        <w:t>皮圣雷著 其他作品：https://www.jiaokey.com/tag/皮圣雷著.html</w:t>
      </w:r>
    </w:p>
    <w:p>
      <w:r>
        <w:t>北京：经济科学 出版图书：https://www.jiaokey.com/tag/北京：经济科学.html</w:t>
      </w:r>
    </w:p>
    <w:p>
      <w:r>
        <w:t>关键词搜索：https://www.jiaokey.com/tag/中国文化企业动态竞争战略研究  制度、网络与创新.html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