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全民所有制工业企业法  的价值评估和制度前景</w:t>
      </w:r>
    </w:p>
    <w:p>
      <w:r>
        <w:rPr>
          <w:rFonts w:ascii="宋体" w:hAnsi="宋体" w:eastAsia="宋体"/>
          <w:sz w:val="24"/>
        </w:rPr>
        <w:t>吴京辉著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全民所有制工业企业法  的价值评估和制度前景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本书出售、求购地址：https://www.jiaokey.com/book/detail/14242214.html</w:t>
      </w:r>
    </w:p>
    <w:p>
      <w:r>
        <w:t>更多相关图书推荐：https://www.jiaokey.com</w:t>
      </w:r>
    </w:p>
    <w:p>
      <w:r>
        <w:t>吴京辉著 其他作品：https://www.jiaokey.com/tag/吴京辉著.html</w:t>
      </w:r>
    </w:p>
    <w:p>
      <w:r>
        <w:t>关键词搜索：https://www.jiaokey.com/tag/全民所有制工业企业法  的价值评估和制度前景.html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