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未日之剑  2</w:t>
      </w:r>
    </w:p>
    <w:p>
      <w:r>
        <w:rPr>
          <w:rFonts w:ascii="宋体" w:hAnsi="宋体" w:eastAsia="宋体"/>
          <w:sz w:val="24"/>
        </w:rPr>
        <w:t>安井健太郎著；寿司漫画；TASA协调协力；庄湘萍译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未日之剑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安井健太郎著；寿司漫画；TASA协调协力；庄湘萍译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台湾国际角川书店股份有限公司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本书出售、求购地址：https://www.jiaokey.com/book/detail/14235401.html</w:t>
      </w:r>
    </w:p>
    <w:p>
      <w:r>
        <w:t>更多相关图书推荐：https://www.jiaokey.com</w:t>
      </w:r>
    </w:p>
    <w:p>
      <w:r>
        <w:t>安井健太郎著；寿司漫画；TASA协调协力；庄湘萍译 其他作品：https://www.jiaokey.com/tag/安井健太郎著；寿司漫画；TASA协调协力；庄湘萍译.html</w:t>
      </w:r>
    </w:p>
    <w:p>
      <w:r>
        <w:t>台湾国际角川书店股份有限公司 出版图书：https://www.jiaokey.com/tag/台湾国际角川书店股份有限公司.html</w:t>
      </w:r>
    </w:p>
    <w:p>
      <w:r>
        <w:t>关键词搜索：https://www.jiaokey.com/tag/未日之剑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