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我国政府会计准则制定的动因、路径、内容与效果研究</w:t>
      </w:r>
    </w:p>
    <w:p>
      <w:r>
        <w:rPr>
          <w:rFonts w:ascii="宋体" w:hAnsi="宋体" w:eastAsia="宋体"/>
          <w:sz w:val="24"/>
        </w:rPr>
        <w:t>张曾莲著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我国政府会计准则制定的动因、路径、内容与效果研究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本书出售、求购地址：https://www.jiaokey.com/book/detail/14228441.html</w:t>
      </w:r>
    </w:p>
    <w:p>
      <w:r>
        <w:t>更多相关图书推荐：https://www.jiaokey.com</w:t>
      </w:r>
    </w:p>
    <w:p>
      <w:r>
        <w:t>张曾莲著 其他作品：https://www.jiaokey.com/tag/张曾莲著.html</w:t>
      </w:r>
    </w:p>
    <w:p>
      <w:r>
        <w:t>北京：经济科学 出版图书：https://www.jiaokey.com/tag/北京：经济科学.html</w:t>
      </w:r>
    </w:p>
    <w:p>
      <w:r>
        <w:t>关键词搜索：https://www.jiaokey.com/tag/我国政府会计准则制定的动因、路径、内容与效果研究.html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