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东南亚与东北亚儒学的建构与实践</w:t>
      </w:r>
    </w:p>
    <w:p>
      <w:r>
        <w:rPr>
          <w:rFonts w:ascii="宋体" w:hAnsi="宋体" w:eastAsia="宋体"/>
          <w:sz w:val="24"/>
        </w:rPr>
        <w:t>魏月萍，朴素晶主编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东南亚与东北亚儒学的建构与实践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魏月萍，朴素晶主编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南洋理工大学中华语言文化中心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本书出售、求购地址：https://www.jiaokey.com/book/detail/14228039.html</w:t>
      </w:r>
    </w:p>
    <w:p>
      <w:r>
        <w:t>更多相关图书推荐：https://www.jiaokey.com</w:t>
      </w:r>
    </w:p>
    <w:p>
      <w:r>
        <w:t>魏月萍，朴素晶主编 其他作品：https://www.jiaokey.com/tag/魏月萍，朴素晶主编.html</w:t>
      </w:r>
    </w:p>
    <w:p>
      <w:r>
        <w:t>南洋理工大学中华语言文化中心 出版图书：https://www.jiaokey.com/tag/南洋理工大学中华语言文化中心.html</w:t>
      </w:r>
    </w:p>
    <w:p>
      <w:r>
        <w:t>关键词搜索：https://www.jiaokey.com/tag/东南亚与东北亚儒学的建构与实践.html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