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  理论与策略</w:t>
      </w:r>
    </w:p>
    <w:p>
      <w:r>
        <w:rPr>
          <w:rFonts w:ascii="宋体" w:hAnsi="宋体" w:eastAsia="宋体"/>
          <w:sz w:val="24"/>
        </w:rPr>
        <w:t>蔡亚萍，竺丽英，杨振曦，陈霞，冯晓旭著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  理论与策略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蔡亚萍，竺丽英，杨振曦，陈霞，冯晓旭著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本书出售、求购地址：https://www.jiaokey.com/book/detail/14226523.html</w:t>
      </w:r>
    </w:p>
    <w:p>
      <w:r>
        <w:t>更多相关图书推荐：https://www.jiaokey.com</w:t>
      </w:r>
    </w:p>
    <w:p>
      <w:r>
        <w:t>蔡亚萍，竺丽英，杨振曦，陈霞，冯晓旭著 其他作品：https://www.jiaokey.com/tag/蔡亚萍，竺丽英，杨振曦，陈霞，冯晓旭著.html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关键词搜索：https://www.jiaokey.com/tag/化学教学  理论与策略.html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