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官员问责制中的刑法问题研究</w:t>
      </w:r>
    </w:p>
    <w:p>
      <w:r>
        <w:rPr>
          <w:rFonts w:ascii="宋体" w:hAnsi="宋体" w:eastAsia="宋体"/>
          <w:sz w:val="24"/>
        </w:rPr>
        <w:t>黄京平等著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官员问责制中的刑法问题研究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本书出售、求购地址：https://www.jiaokey.com/book/detail/14221330.html</w:t>
      </w:r>
    </w:p>
    <w:p>
      <w:r>
        <w:t>更多相关图书推荐：https://www.jiaokey.com</w:t>
      </w:r>
    </w:p>
    <w:p>
      <w:r>
        <w:t>黄京平等著 其他作品：https://www.jiaokey.com/tag/黄京平等著.html</w:t>
      </w:r>
    </w:p>
    <w:p>
      <w:r>
        <w:t>关键词搜索：https://www.jiaokey.com/tag/官员问责制中的刑法问题研究.html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