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  佛山模式</w:t>
      </w:r>
    </w:p>
    <w:p>
      <w:r>
        <w:rPr>
          <w:rFonts w:ascii="宋体" w:hAnsi="宋体" w:eastAsia="宋体"/>
          <w:sz w:val="24"/>
        </w:rPr>
        <w:t>张燕生，肖耿，罗祥国，（澳）多米尼克·米格尔著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  佛山模式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张燕生，肖耿，罗祥国，（澳）多米尼克·米格尔著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本书出售、求购地址：https://www.jiaokey.com/book/detail/14213922.html</w:t>
      </w:r>
    </w:p>
    <w:p>
      <w:r>
        <w:t>更多相关图书推荐：https://www.jiaokey.com</w:t>
      </w:r>
    </w:p>
    <w:p>
      <w:r>
        <w:t>张燕生，肖耿，罗祥国，（澳）多米尼克·米格尔著 其他作品：https://www.jiaokey.com/tag/张燕生，肖耿，罗祥国，（澳）多米尼克·米格尔著.html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关键词搜索：https://www.jiaokey.com/tag/中国未来  佛山模式.html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