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书名：发展战略、要素收入分配与需求结构失衡</w:t>
      </w:r>
    </w:p>
    <w:p>
      <w:r>
        <w:t>作者：张军超著</w:t>
      </w:r>
    </w:p>
    <w:p>
      <w:r>
        <w:t>出版社：国际广播出版社</w:t>
      </w:r>
    </w:p>
    <w:p>
      <w:r>
        <w:t>出版日期：2017.06</w:t>
      </w:r>
    </w:p>
    <w:p>
      <w:r>
        <w:t>总页数：140</w:t>
      </w:r>
    </w:p>
    <w:p>
      <w:r>
        <w:t>更多请访问教客网: www.jiaokey.com</w:t>
      </w:r>
    </w:p>
    <w:p>
      <w:r>
        <w:t>发展战略、要素收入分配与需求结构失衡 评论地址：https://www.jiaokey.com/book/detail/14212716.html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