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从观念到制度  公民社会权利的实现  以民政福利为例</w:t>
      </w:r>
    </w:p>
    <w:p>
      <w:r>
        <w:rPr>
          <w:rFonts w:ascii="宋体" w:hAnsi="宋体" w:eastAsia="宋体"/>
          <w:sz w:val="24"/>
        </w:rPr>
        <w:t>胡文木著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从观念到制度  公民社会权利的实现  以民政福利为例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本书出售、求购地址：https://www.jiaokey.com/book/detail/14212024.html</w:t>
      </w:r>
    </w:p>
    <w:p>
      <w:r>
        <w:t>更多相关图书推荐：https://www.jiaokey.com</w:t>
      </w:r>
    </w:p>
    <w:p>
      <w:r>
        <w:t>胡文木著 其他作品：https://www.jiaokey.com/tag/胡文木著.html</w:t>
      </w:r>
    </w:p>
    <w:p>
      <w:r>
        <w:t>关键词搜索：https://www.jiaokey.com/tag/从观念到制度  公民社会权利的实现  以民政福利为例.html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