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坐骨神经痛之诊断</w:t>
      </w:r>
    </w:p>
    <w:p>
      <w:r>
        <w:rPr>
          <w:rFonts w:ascii="宋体" w:hAnsi="宋体" w:eastAsia="宋体"/>
          <w:sz w:val="24"/>
        </w:rPr>
        <w:t>（日）近藤锐矢撰；刘曜曦译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坐骨神经痛之诊断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（日）近藤锐矢撰；刘曜曦译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本书出售、求购地址：https://www.jiaokey.com/book/detail/14211082.html</w:t>
      </w:r>
    </w:p>
    <w:p>
      <w:r>
        <w:t>更多相关图书推荐：https://www.jiaokey.com</w:t>
      </w:r>
    </w:p>
    <w:p>
      <w:r>
        <w:t>（日）近藤锐矢撰；刘曜曦译 其他作品：https://www.jiaokey.com/tag/（日）近藤锐矢撰；刘曜曦译.html</w:t>
      </w:r>
    </w:p>
    <w:p>
      <w:r>
        <w:t>长城书店 出版图书：https://www.jiaokey.com/tag/长城书店.html</w:t>
      </w:r>
    </w:p>
    <w:p>
      <w:r>
        <w:t>关键词搜索：https://www.jiaokey.com/tag/坐骨神经痛之诊断.html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