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  原书第4版</w:t>
      </w:r>
    </w:p>
    <w:p>
      <w:r>
        <w:rPr>
          <w:rFonts w:ascii="宋体" w:hAnsi="宋体" w:eastAsia="宋体"/>
          <w:sz w:val="24"/>
        </w:rPr>
        <w:t>（美）戴维C.雷（DavidC.Lay）著；刘深泉，张万芹，陈玉珍等译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（美）戴维C.雷（DavidC.Lay）著；刘深泉，张万芹，陈玉珍等译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本书出售、求购地址：https://www.jiaokey.com/book/detail/14211035.html</w:t>
      </w:r>
    </w:p>
    <w:p>
      <w:r>
        <w:t>更多相关图书推荐：https://www.jiaokey.com</w:t>
      </w:r>
    </w:p>
    <w:p>
      <w:r>
        <w:t>（美）戴维C.雷（DavidC.Lay）著；刘深泉，张万芹，陈玉珍等译 其他作品：https://www.jiaokey.com/tag/（美）戴维C.雷（DavidC.Lay）著；刘深泉，张万芹，陈玉珍等译.html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关键词搜索：https://www.jiaokey.com/tag/线性代数及其应用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