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中华人民共和国公共文化服务保障法解读</w:t>
      </w:r>
    </w:p>
    <w:p>
      <w:r>
        <w:rPr>
          <w:rFonts w:ascii="宋体" w:hAnsi="宋体" w:eastAsia="宋体"/>
          <w:sz w:val="24"/>
        </w:rPr>
        <w:t>柳斌杰，雒树刚，袁曙宏主编；许安标，杨志今，闫晓宏副主编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中华人民共和国公共文化服务保障法解读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柳斌杰，雒树刚，袁曙宏主编；许安标，杨志今，闫晓宏副主编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本书出售、求购地址：https://www.jiaokey.com/book/detail/14208226.html</w:t>
      </w:r>
    </w:p>
    <w:p>
      <w:r>
        <w:t>更多相关图书推荐：https://www.jiaokey.com</w:t>
      </w:r>
    </w:p>
    <w:p>
      <w:r>
        <w:t>柳斌杰，雒树刚，袁曙宏主编；许安标，杨志今，闫晓宏副主编 其他作品：https://www.jiaokey.com/tag/柳斌杰，雒树刚，袁曙宏主编；许安标，杨志今，闫晓宏副主编.html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关键词搜索：https://www.jiaokey.com/tag/中华人民共和国公共文化服务保障法解读.html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