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长期护照政策与管理</w:t>
      </w:r>
    </w:p>
    <w:p>
      <w:r>
        <w:rPr>
          <w:rFonts w:ascii="宋体" w:hAnsi="宋体" w:eastAsia="宋体"/>
          <w:sz w:val="24"/>
        </w:rPr>
        <w:t>徐慧娟主编；徐慧娟，叶玲玲，朱侨丽，谢嫣娉，黄英家，张李淑女合著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长期护照政策与管理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徐慧娟主编；徐慧娟，叶玲玲，朱侨丽，谢嫣娉，黄英家，张李淑女合著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本书出售、求购地址：https://www.jiaokey.com/book/detail/14203211.html</w:t>
      </w:r>
    </w:p>
    <w:p>
      <w:r>
        <w:t>更多相关图书推荐：https://www.jiaokey.com</w:t>
      </w:r>
    </w:p>
    <w:p>
      <w:r>
        <w:t>徐慧娟主编；徐慧娟，叶玲玲，朱侨丽，谢嫣娉，黄英家，张李淑女合著 其他作品：https://www.jiaokey.com/tag/徐慧娟主编；徐慧娟，叶玲玲，朱侨丽，谢嫣娉，黄英家，张李淑女合著.html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关键词搜索：https://www.jiaokey.com/tag/长期护照政策与管理.html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