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懒人农法第1次全图解</w:t>
      </w:r>
    </w:p>
    <w:p>
      <w:r>
        <w:rPr>
          <w:rFonts w:ascii="宋体" w:hAnsi="宋体" w:eastAsia="宋体"/>
          <w:sz w:val="24"/>
        </w:rPr>
        <w:t>设乐清和审订；严可婷译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懒人农法第1次全图解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设乐清和审订；严可婷译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果力文化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本书出售、求购地址：https://www.jiaokey.com/book/detail/14203086.html</w:t>
      </w:r>
    </w:p>
    <w:p>
      <w:r>
        <w:t>更多相关图书推荐：https://www.jiaokey.com</w:t>
      </w:r>
    </w:p>
    <w:p>
      <w:r>
        <w:t>设乐清和审订；严可婷译 其他作品：https://www.jiaokey.com/tag/设乐清和审订；严可婷译.html</w:t>
      </w:r>
    </w:p>
    <w:p>
      <w:r>
        <w:t>果力文化 出版图书：https://www.jiaokey.com/tag/果力文化.html</w:t>
      </w:r>
    </w:p>
    <w:p>
      <w:r>
        <w:t>关键词搜索：https://www.jiaokey.com/tag/懒人农法第1次全图解.html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