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儿童心理健康游戏活动系列  儿童愤怒情绪管理游戏</w:t>
      </w:r>
    </w:p>
    <w:p>
      <w:r>
        <w:rPr>
          <w:rFonts w:ascii="宋体" w:hAnsi="宋体" w:eastAsia="宋体"/>
          <w:sz w:val="24"/>
        </w:rPr>
        <w:t>（英）黛博拉·M.普拉默著；（英）简·塞路里插图；马柯译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儿童心理健康游戏活动系列  儿童愤怒情绪管理游戏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（英）黛博拉·M.普拉默著；（英）简·塞路里插图；马柯译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本书出售、求购地址：https://www.jiaokey.com/book/detail/14201130.html</w:t>
      </w:r>
    </w:p>
    <w:p>
      <w:r>
        <w:t>更多相关图书推荐：https://www.jiaokey.com</w:t>
      </w:r>
    </w:p>
    <w:p>
      <w:r>
        <w:t>（英）黛博拉·M.普拉默著；（英）简·塞路里插图；马柯译 其他作品：https://www.jiaokey.com/tag/（英）黛博拉·M.普拉默著；（英）简·塞路里插图；马柯译.html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关键词搜索：https://www.jiaokey.com/tag/儿童心理健康游戏活动系列  儿童愤怒情绪管理游戏.html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