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我们应该吃什么</w:t>
      </w:r>
    </w:p>
    <w:p>
      <w:r>
        <w:rPr>
          <w:rFonts w:ascii="宋体" w:hAnsi="宋体" w:eastAsia="宋体"/>
          <w:sz w:val="24"/>
        </w:rPr>
        <w:t>（法）维多尼克·夏波多著；（法）维多尼克·戴斯绘；张鹏译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我们应该吃什么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（法）维多尼克·夏波多著；（法）维多尼克·戴斯绘；张鹏译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本书出售、求购地址：https://www.jiaokey.com/book/detail/14199337.html</w:t>
      </w:r>
    </w:p>
    <w:p>
      <w:r>
        <w:t>更多相关图书推荐：https://www.jiaokey.com</w:t>
      </w:r>
    </w:p>
    <w:p>
      <w:r>
        <w:t>（法）维多尼克·夏波多著；（法）维多尼克·戴斯绘；张鹏译 其他作品：https://www.jiaokey.com/tag/（法）维多尼克·夏波多著；（法）维多尼克·戴斯绘；张鹏译.html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关键词搜索：https://www.jiaokey.com/tag/我们应该吃什么.html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