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阿拉丁和神灯</w:t>
      </w:r>
    </w:p>
    <w:p>
      <w:r>
        <w:rPr>
          <w:rFonts w:ascii="宋体" w:hAnsi="宋体" w:eastAsia="宋体"/>
          <w:sz w:val="24"/>
        </w:rPr>
        <w:t>（德国）玛丽亚·塞德曼改编；（德国）扎比内·克劳斯哈尔插图；丁芸译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阿拉丁和神灯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（德国）玛丽亚·塞德曼改编；（德国）扎比内·克劳斯哈尔插图；丁芸译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本书出售、求购地址：https://www.jiaokey.com/book/detail/14196324.html</w:t>
      </w:r>
    </w:p>
    <w:p>
      <w:r>
        <w:t>更多相关图书推荐：https://www.jiaokey.com</w:t>
      </w:r>
    </w:p>
    <w:p>
      <w:r>
        <w:t>（德国）玛丽亚·塞德曼改编；（德国）扎比内·克劳斯哈尔插图；丁芸译 其他作品：https://www.jiaokey.com/tag/（德国）玛丽亚·塞德曼改编；（德国）扎比内·克劳斯哈尔插图；丁芸译.html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关键词搜索：https://www.jiaokey.com/tag/阿拉丁和神灯.html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