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北京金融产业的定位与发展：基于构建世界城市的思考</w:t>
      </w:r>
    </w:p>
    <w:p>
      <w:r>
        <w:rPr>
          <w:rFonts w:ascii="宋体" w:hAnsi="宋体" w:eastAsia="宋体"/>
          <w:sz w:val="24"/>
        </w:rPr>
        <w:t>张云翔著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北京金融产业的定位与发展：基于构建世界城市的思考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本书出售、求购地址：https://www.jiaokey.com/book/detail/14194588.html</w:t>
      </w:r>
    </w:p>
    <w:p>
      <w:r>
        <w:t>更多相关图书推荐：https://www.jiaokey.com</w:t>
      </w:r>
    </w:p>
    <w:p>
      <w:r>
        <w:t>张云翔著 其他作品：https://www.jiaokey.com/tag/张云翔著.html</w:t>
      </w:r>
    </w:p>
    <w:p>
      <w:r>
        <w:t>关键词搜索：https://www.jiaokey.com/tag/北京金融产业的定位与发展：基于构建世界城市的思考.html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