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腹泻病控制规划病例诊治新方法</w:t>
      </w:r>
    </w:p>
    <w:p>
      <w:r>
        <w:rPr>
          <w:rFonts w:ascii="宋体" w:hAnsi="宋体" w:eastAsia="宋体"/>
          <w:sz w:val="24"/>
        </w:rPr>
        <w:t>任丽娟;刘乾富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腹泻病控制规划病例诊治新方法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任丽娟;刘乾富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云南省腹泻病控制领导小组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本书出售、求购地址：https://www.jiaokey.com/book/detail/14192664.html</w:t>
      </w:r>
    </w:p>
    <w:p>
      <w:r>
        <w:t>更多相关图书推荐：https://www.jiaokey.com</w:t>
      </w:r>
    </w:p>
    <w:p>
      <w:r>
        <w:t>任丽娟;刘乾富 其他作品：https://www.jiaokey.com/tag/任丽娟;刘乾富.html</w:t>
      </w:r>
    </w:p>
    <w:p>
      <w:r>
        <w:t>云南省腹泻病控制领导小组 出版图书：https://www.jiaokey.com/tag/云南省腹泻病控制领导小组.html</w:t>
      </w:r>
    </w:p>
    <w:p>
      <w:r>
        <w:t>关键词搜索：https://www.jiaokey.com/tag/腹泻病控制规划病例诊治新方法.html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