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办公自动化案例教程</w:t>
      </w:r>
    </w:p>
    <w:p>
      <w:r>
        <w:rPr>
          <w:rFonts w:ascii="宋体" w:hAnsi="宋体" w:eastAsia="宋体"/>
          <w:sz w:val="24"/>
        </w:rPr>
        <w:t>肖辉军，胡美新，戴振华主编；陈泽顺，文海英，王凤梅，李艳芳，李中文，邓海良副主编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肖辉军，胡美新，戴振华主编；陈泽顺，文海英，王凤梅，李艳芳，李中文，邓海良副主编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本书出售、求购地址：https://www.jiaokey.com/book/detail/14190112.html</w:t>
      </w:r>
    </w:p>
    <w:p>
      <w:r>
        <w:t>更多相关图书推荐：https://www.jiaokey.com</w:t>
      </w:r>
    </w:p>
    <w:p>
      <w:r>
        <w:t>肖辉军，胡美新，戴振华主编；陈泽顺，文海英，王凤梅，李艳芳，李中文，邓海良副主编 其他作品：https://www.jiaokey.com/tag/肖辉军，胡美新，戴振华主编；陈泽顺，文海英，王凤梅，李艳芳，李中文，邓海良副主编.html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