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网络互联与实现</w:t>
      </w:r>
    </w:p>
    <w:p>
      <w:r>
        <w:rPr>
          <w:rFonts w:ascii="宋体" w:hAnsi="宋体" w:eastAsia="宋体"/>
          <w:sz w:val="24"/>
        </w:rPr>
        <w:t>聂俊航，于晓阳，王路群主编；刘坤，王玉娇，吕翎副主编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聂俊航，于晓阳，王路群主编；刘坤，王玉娇，吕翎副主编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本书出售、求购地址：https://www.jiaokey.com/book/detail/14187202.html</w:t>
      </w:r>
    </w:p>
    <w:p>
      <w:r>
        <w:t>更多相关图书推荐：https://www.jiaokey.com</w:t>
      </w:r>
    </w:p>
    <w:p>
      <w:r>
        <w:t>聂俊航，于晓阳，王路群主编；刘坤，王玉娇，吕翎副主编 其他作品：https://www.jiaokey.com/tag/聂俊航，于晓阳，王路群主编；刘坤，王玉娇，吕翎副主编.html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关键词搜索：https://www.jiaokey.com/tag/网络互联与实现.html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