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竞技排球多人进攻战术的组合特征与协同实施</w:t>
      </w:r>
    </w:p>
    <w:p>
      <w:r>
        <w:rPr>
          <w:rFonts w:ascii="宋体" w:hAnsi="宋体" w:eastAsia="宋体"/>
          <w:sz w:val="24"/>
        </w:rPr>
        <w:t>何蕊著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竞技排球多人进攻战术的组合特征与协同实施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本书出售、求购地址：https://www.jiaokey.com/book/detail/14187060.html</w:t>
      </w:r>
    </w:p>
    <w:p>
      <w:r>
        <w:t>更多相关图书推荐：https://www.jiaokey.com</w:t>
      </w:r>
    </w:p>
    <w:p>
      <w:r>
        <w:t>何蕊著 其他作品：https://www.jiaokey.com/tag/何蕊著.html</w:t>
      </w:r>
    </w:p>
    <w:p>
      <w:r>
        <w:t>关键词搜索：https://www.jiaokey.com/tag/竞技排球多人进攻战术的组合特征与协同实施.html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