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网页制作案例教程  第2版</w:t>
      </w:r>
    </w:p>
    <w:p>
      <w:r>
        <w:rPr>
          <w:rFonts w:ascii="宋体" w:hAnsi="宋体" w:eastAsia="宋体"/>
          <w:sz w:val="24"/>
        </w:rPr>
        <w:t>陈建孝，江玉珍，陆锡聪，余晓春编著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陈建孝，江玉珍，陆锡聪，余晓春编著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本书出售、求购地址：https://www.jiaokey.com/book/detail/14181884.html</w:t>
      </w:r>
    </w:p>
    <w:p>
      <w:r>
        <w:t>更多相关图书推荐：https://www.jiaokey.com</w:t>
      </w:r>
    </w:p>
    <w:p>
      <w:r>
        <w:t>陈建孝，江玉珍，陆锡聪，余晓春编著 其他作品：https://www.jiaokey.com/tag/陈建孝，江玉珍，陆锡聪，余晓春编著.html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