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大理院刑事判例辑存  1912-1928  分则编  2</w:t>
      </w:r>
    </w:p>
    <w:p>
      <w:r>
        <w:rPr>
          <w:rFonts w:ascii="宋体" w:hAnsi="宋体" w:eastAsia="宋体"/>
          <w:sz w:val="24"/>
        </w:rPr>
        <w:t>黄源盛纂辑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大理院刑事判例辑存  1912-1928  分则编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黄源盛纂辑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犁斋社有限公司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本书出售、求购地址：https://www.jiaokey.com/book/detail/14180129.html</w:t>
      </w:r>
    </w:p>
    <w:p>
      <w:r>
        <w:t>更多相关图书推荐：https://www.jiaokey.com</w:t>
      </w:r>
    </w:p>
    <w:p>
      <w:r>
        <w:t>黄源盛纂辑 其他作品：https://www.jiaokey.com/tag/黄源盛纂辑.html</w:t>
      </w:r>
    </w:p>
    <w:p>
      <w:r>
        <w:t>犁斋社有限公司 出版图书：https://www.jiaokey.com/tag/犁斋社有限公司.html</w:t>
      </w:r>
    </w:p>
    <w:p>
      <w:r>
        <w:t>关键词搜索：https://www.jiaokey.com/tag/大理院刑事判例辑存  1912-1928  分则编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