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香港走向二十一世纪  “华夏体系”与“太平洋时代”的探索</w:t>
      </w:r>
    </w:p>
    <w:p>
      <w:r>
        <w:rPr>
          <w:rFonts w:ascii="宋体" w:hAnsi="宋体" w:eastAsia="宋体"/>
          <w:sz w:val="24"/>
        </w:rPr>
        <w:t>孙绍振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香港走向二十一世纪  “华夏体系”与“太平洋时代”的探索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本书出售、求购地址：https://www.jiaokey.com/book/detail/14179697.html</w:t>
      </w:r>
    </w:p>
    <w:p>
      <w:r>
        <w:t>更多相关图书推荐：https://www.jiaokey.com</w:t>
      </w:r>
    </w:p>
    <w:p>
      <w:r>
        <w:t>孙绍振 其他作品：https://www.jiaokey.com/tag/孙绍振.html</w:t>
      </w:r>
    </w:p>
    <w:p>
      <w:r>
        <w:t>关键词搜索：https://www.jiaokey.com/tag/香港走向二十一世纪  “华夏体系”与“太平洋时代”的探索.html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