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理论力学解题指南</w:t>
      </w:r>
    </w:p>
    <w:p>
      <w:r>
        <w:rPr>
          <w:rFonts w:ascii="宋体" w:hAnsi="宋体" w:eastAsia="宋体"/>
          <w:sz w:val="24"/>
        </w:rPr>
        <w:t>（苏）И·М沃伦柯夫，Т·Б阿依金别尔格，В·М奥谢茨基著；邹安朝译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（苏）И·М沃伦柯夫，Т·Б阿依金别尔格，В·М奥谢茨基著；邹安朝译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本书出售、求购地址：https://www.jiaokey.com/book/detail/14179593.html</w:t>
      </w:r>
    </w:p>
    <w:p>
      <w:r>
        <w:t>更多相关图书推荐：https://www.jiaokey.com</w:t>
      </w:r>
    </w:p>
    <w:p>
      <w:r>
        <w:t>（苏）И·М沃伦柯夫，Т·Б阿依金别尔格，В·М奥谢茨基著；邹安朝译 其他作品：https://www.jiaokey.com/tag/（苏）И·М沃伦柯夫，Т·Б阿依金别尔格，В·М奥谢茨基著；邹安朝译.html</w:t>
      </w:r>
    </w:p>
    <w:p>
      <w:r>
        <w:t>关键词搜索：https://www.jiaokey.com/tag/理论力学解题指南.html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