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“十三五”国家食品和药品安全规划解读</w:t>
      </w:r>
    </w:p>
    <w:p>
      <w:r>
        <w:rPr>
          <w:rFonts w:ascii="宋体" w:hAnsi="宋体" w:eastAsia="宋体"/>
          <w:sz w:val="24"/>
        </w:rPr>
        <w:t>国家食品药品监督管理总局规划财务司，国家食品药品监督管理总局新闻宣传司，中国健康传媒集团著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“十三五”国家食品和药品安全规划解读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国家食品药品监督管理总局规划财务司，国家食品药品监督管理总局新闻宣传司，中国健康传媒集团著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本书出售、求购地址：https://www.jiaokey.com/book/detail/14177548.html</w:t>
      </w:r>
    </w:p>
    <w:p>
      <w:r>
        <w:t>更多相关图书推荐：https://www.jiaokey.com</w:t>
      </w:r>
    </w:p>
    <w:p>
      <w:r>
        <w:t>国家食品药品监督管理总局规划财务司，国家食品药品监督管理总局新闻宣传司，中国健康传媒集团著 其他作品：https://www.jiaokey.com/tag/国家食品药品监督管理总局规划财务司，国家食品药品监督管理总局新闻宣传司，中国健康传媒集团著.html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关键词搜索：https://www.jiaokey.com/tag/“十三五”国家食品和药品安全规划解读.html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