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第23辑</w:t>
      </w:r>
    </w:p>
    <w:p>
      <w:r>
        <w:rPr>
          <w:rFonts w:ascii="宋体" w:hAnsi="宋体" w:eastAsia="宋体"/>
          <w:sz w:val="24"/>
        </w:rPr>
        <w:t>巫山县教育关心下一代工作委员会，巫山县退（离）休教师协会主编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巫山县教育关心下一代工作委员会，巫山县退（离）休教师协会主编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本书出售、求购地址：https://www.jiaokey.com/book/detail/14175648.html</w:t>
      </w:r>
    </w:p>
    <w:p>
      <w:r>
        <w:t>更多相关图书推荐：https://www.jiaokey.com</w:t>
      </w:r>
    </w:p>
    <w:p>
      <w:r>
        <w:t>巫山县教育关心下一代工作委员会，巫山县退（离）休教师协会主编 其他作品：https://www.jiaokey.com/tag/巫山县教育关心下一代工作委员会，巫山县退（离）休教师协会主编.html</w:t>
      </w:r>
    </w:p>
    <w:p>
      <w:r>
        <w:t>关键词搜索：https://www.jiaokey.com/tag/巫峡烛光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