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我国建设用地总量控制与差别化管理政策研究</w:t>
      </w:r>
    </w:p>
    <w:p>
      <w:r>
        <w:rPr>
          <w:rFonts w:ascii="宋体" w:hAnsi="宋体" w:eastAsia="宋体"/>
          <w:sz w:val="24"/>
        </w:rPr>
        <w:t>欧名豪等著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我国建设用地总量控制与差别化管理政策研究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欧名豪等著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本书出售、求购地址：https://www.jiaokey.com/book/detail/14175133.html</w:t>
      </w:r>
    </w:p>
    <w:p>
      <w:r>
        <w:t>更多相关图书推荐：https://www.jiaokey.com</w:t>
      </w:r>
    </w:p>
    <w:p>
      <w:r>
        <w:t>欧名豪等著 其他作品：https://www.jiaokey.com/tag/欧名豪等著.html</w:t>
      </w:r>
    </w:p>
    <w:p>
      <w:r>
        <w:t>北京：经济科学 出版图书：https://www.jiaokey.com/tag/北京：经济科学.html</w:t>
      </w:r>
    </w:p>
    <w:p>
      <w:r>
        <w:t>关键词搜索：https://www.jiaokey.com/tag/我国建设用地总量控制与差别化管理政策研究.html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