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  第2版</w:t>
      </w:r>
    </w:p>
    <w:p>
      <w:r>
        <w:rPr>
          <w:rFonts w:ascii="宋体" w:hAnsi="宋体" w:eastAsia="宋体"/>
          <w:sz w:val="24"/>
        </w:rPr>
        <w:t>孙燕军，刘大为主编；郑庆良，张树人，李君君副主编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孙燕军，刘大为主编；郑庆良，张树人，李君君副主编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本书出售、求购地址：https://www.jiaokey.com/book/detail/14173925.html</w:t>
      </w:r>
    </w:p>
    <w:p>
      <w:r>
        <w:t>更多相关图书推荐：https://www.jiaokey.com</w:t>
      </w:r>
    </w:p>
    <w:p>
      <w:r>
        <w:t>孙燕军，刘大为主编；郑庆良，张树人，李君君副主编 其他作品：https://www.jiaokey.com/tag/孙燕军，刘大为主编；郑庆良，张树人，李君君副主编.html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