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审计原理与实务</w:t>
      </w:r>
    </w:p>
    <w:p>
      <w:r>
        <w:rPr>
          <w:rFonts w:ascii="宋体" w:hAnsi="宋体" w:eastAsia="宋体"/>
          <w:sz w:val="24"/>
        </w:rPr>
        <w:t>荣国萱，王婷婷，朱桂明主编；史雅洁，贾卓杰，刘希，黄念菁副主编；王盼盼，彭爽，段如娴参编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荣国萱，王婷婷，朱桂明主编；史雅洁，贾卓杰，刘希，黄念菁副主编；王盼盼，彭爽，段如娴参编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本书出售、求购地址：https://www.jiaokey.com/book/detail/14171864.html</w:t>
      </w:r>
    </w:p>
    <w:p>
      <w:r>
        <w:t>更多相关图书推荐：https://www.jiaokey.com</w:t>
      </w:r>
    </w:p>
    <w:p>
      <w:r>
        <w:t>荣国萱，王婷婷，朱桂明主编；史雅洁，贾卓杰，刘希，黄念菁副主编；王盼盼，彭爽，段如娴参编 其他作品：https://www.jiaokey.com/tag/荣国萱，王婷婷，朱桂明主编；史雅洁，贾卓杰，刘希，黄念菁副主编；王盼盼，彭爽，段如娴参编.html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