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财产行为税</w:t>
      </w:r>
    </w:p>
    <w:p>
      <w:r>
        <w:rPr>
          <w:rFonts w:ascii="宋体" w:hAnsi="宋体" w:eastAsia="宋体"/>
          <w:sz w:val="24"/>
        </w:rPr>
        <w:t>赵连纯主编；娄秀英，蒋西洪，吴双铎副主编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财产行为税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赵连纯主编；娄秀英，蒋西洪，吴双铎副主编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本书出售、求购地址：https://www.jiaokey.com/book/detail/14171717.html</w:t>
      </w:r>
    </w:p>
    <w:p>
      <w:r>
        <w:t>更多相关图书推荐：https://www.jiaokey.com</w:t>
      </w:r>
    </w:p>
    <w:p>
      <w:r>
        <w:t>赵连纯主编；娄秀英，蒋西洪，吴双铎副主编 其他作品：https://www.jiaokey.com/tag/赵连纯主编；娄秀英，蒋西洪，吴双铎副主编.html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关键词搜索：https://www.jiaokey.com/tag/财产行为税.html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