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中老年特效穴位使用手册</w:t>
      </w:r>
    </w:p>
    <w:p>
      <w:r>
        <w:rPr>
          <w:rFonts w:ascii="宋体" w:hAnsi="宋体" w:eastAsia="宋体"/>
          <w:sz w:val="24"/>
        </w:rPr>
        <w:t>徐勇刚，宋鸿权主编；郎翔，吴娟副主编；王达亮，易磊，姚问，倪亚杰，孙佳骏，金禹彤，王意云编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中老年特效穴位使用手册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徐勇刚，宋鸿权主编；郎翔，吴娟副主编；王达亮，易磊，姚问，倪亚杰，孙佳骏，金禹彤，王意云编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本书出售、求购地址：https://www.jiaokey.com/book/detail/14169771.html</w:t>
      </w:r>
    </w:p>
    <w:p>
      <w:r>
        <w:t>更多相关图书推荐：https://www.jiaokey.com</w:t>
      </w:r>
    </w:p>
    <w:p>
      <w:r>
        <w:t>徐勇刚，宋鸿权主编；郎翔，吴娟副主编；王达亮，易磊，姚问，倪亚杰，孙佳骏，金禹彤，王意云编 其他作品：https://www.jiaokey.com/tag/徐勇刚，宋鸿权主编；郎翔，吴娟副主编；王达亮，易磊，姚问，倪亚杰，孙佳骏，金禹彤，王意云编.html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关键词搜索：https://www.jiaokey.com/tag/中老年特效穴位使用手册.html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