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公共机构能源管理共性方法及关键技术研究</w:t>
      </w:r>
    </w:p>
    <w:p>
      <w:r>
        <w:rPr>
          <w:rFonts w:ascii="宋体" w:hAnsi="宋体" w:eastAsia="宋体"/>
          <w:sz w:val="24"/>
        </w:rPr>
        <w:t>朱春雁，梁秀英，白雪等著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公共机构能源管理共性方法及关键技术研究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朱春雁，梁秀英，白雪等著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本书出售、求购地址：https://www.jiaokey.com/book/detail/14169154.html</w:t>
      </w:r>
    </w:p>
    <w:p>
      <w:r>
        <w:t>更多相关图书推荐：https://www.jiaokey.com</w:t>
      </w:r>
    </w:p>
    <w:p>
      <w:r>
        <w:t>朱春雁，梁秀英，白雪等著 其他作品：https://www.jiaokey.com/tag/朱春雁，梁秀英，白雪等著.html</w:t>
      </w:r>
    </w:p>
    <w:p>
      <w:r>
        <w:t>中国质检出版社 出版图书：https://www.jiaokey.com/tag/中国质检出版社.html</w:t>
      </w:r>
    </w:p>
    <w:p>
      <w:r>
        <w:t>关键词搜索：https://www.jiaokey.com/tag/公共机构能源管理共性方法及关键技术研究.html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