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涉县娲皇宫</w:t>
      </w:r>
    </w:p>
    <w:p>
      <w:r>
        <w:rPr>
          <w:rFonts w:ascii="宋体" w:hAnsi="宋体" w:eastAsia="宋体"/>
          <w:sz w:val="24"/>
        </w:rPr>
        <w:t>牛永芳，贾海波主编；郭文锁执行主编；涉县娲皇宫管理处，涉县文化创意研究中心编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涉县娲皇宫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牛永芳，贾海波主编；郭文锁执行主编；涉县娲皇宫管理处，涉县文化创意研究中心编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本书出售、求购地址：https://www.jiaokey.com/book/detail/14168378.html</w:t>
      </w:r>
    </w:p>
    <w:p>
      <w:r>
        <w:t>更多相关图书推荐：https://www.jiaokey.com</w:t>
      </w:r>
    </w:p>
    <w:p>
      <w:r>
        <w:t>牛永芳，贾海波主编；郭文锁执行主编；涉县娲皇宫管理处，涉县文化创意研究中心编 其他作品：https://www.jiaokey.com/tag/牛永芳，贾海波主编；郭文锁执行主编；涉县娲皇宫管理处，涉县文化创意研究中心编.html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关键词搜索：https://www.jiaokey.com/tag/涉县娲皇宫.html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