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结构原理</w:t>
      </w:r>
    </w:p>
    <w:p>
      <w:r>
        <w:rPr>
          <w:rFonts w:ascii="宋体" w:hAnsi="宋体" w:eastAsia="宋体"/>
          <w:sz w:val="24"/>
        </w:rPr>
        <w:t>（以）阿里埃勒·哈瑙尔著；赵作周，郭红仙等译校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（以）阿里埃勒·哈瑙尔著；赵作周，郭红仙等译校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本书出售、求购地址：https://www.jiaokey.com/book/detail/14166877.html</w:t>
      </w:r>
    </w:p>
    <w:p>
      <w:r>
        <w:t>更多相关图书推荐：https://www.jiaokey.com</w:t>
      </w:r>
    </w:p>
    <w:p>
      <w:r>
        <w:t>（以）阿里埃勒·哈瑙尔著；赵作周，郭红仙等译校 其他作品：https://www.jiaokey.com/tag/（以）阿里埃勒·哈瑙尔著；赵作周，郭红仙等译校.html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