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第2版</w:t>
      </w:r>
    </w:p>
    <w:p>
      <w:r>
        <w:rPr>
          <w:rFonts w:ascii="宋体" w:hAnsi="宋体" w:eastAsia="宋体"/>
          <w:sz w:val="24"/>
        </w:rPr>
        <w:t>董汉彬，齐代民主编；韩祥国，李志勇，王充泉副主编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董汉彬，齐代民主编；韩祥国，李志勇，王充泉副主编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本书出售、求购地址：https://www.jiaokey.com/book/detail/14164831.html</w:t>
      </w:r>
    </w:p>
    <w:p>
      <w:r>
        <w:t>更多相关图书推荐：https://www.jiaokey.com</w:t>
      </w:r>
    </w:p>
    <w:p>
      <w:r>
        <w:t>董汉彬，齐代民主编；韩祥国，李志勇，王充泉副主编 其他作品：https://www.jiaokey.com/tag/董汉彬，齐代民主编；韩祥国，李志勇，王充泉副主编.html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关键词搜索：https://www.jiaokey.com/tag/中国税制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