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孟津黄河小浪底风景旅游区</w:t>
      </w:r>
    </w:p>
    <w:p>
      <w:r>
        <w:rPr>
          <w:rFonts w:ascii="宋体" w:hAnsi="宋体" w:eastAsia="宋体"/>
          <w:sz w:val="24"/>
        </w:rPr>
        <w:t>雷长欣，于永通撰稿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孟津黄河小浪底风景旅游区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雷长欣，于永通撰稿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本书出售、求购地址：https://www.jiaokey.com/book/detail/14163727.html</w:t>
      </w:r>
    </w:p>
    <w:p>
      <w:r>
        <w:t>更多相关图书推荐：https://www.jiaokey.com</w:t>
      </w:r>
    </w:p>
    <w:p>
      <w:r>
        <w:t>雷长欣，于永通撰稿 其他作品：https://www.jiaokey.com/tag/雷长欣，于永通撰稿.html</w:t>
      </w:r>
    </w:p>
    <w:p>
      <w:r>
        <w:t>关键词搜索：https://www.jiaokey.com/tag/孟津黄河小浪底风景旅游区.html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