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LoadRunner虚拟用户高级开发指南</w:t>
      </w:r>
    </w:p>
    <w:p>
      <w:r>
        <w:rPr>
          <w:rFonts w:ascii="宋体" w:hAnsi="宋体" w:eastAsia="宋体"/>
          <w:sz w:val="24"/>
        </w:rPr>
        <w:t>中国民生银行信息科技部陈绍英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LoadRunner虚拟用户高级开发指南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中国民生银行信息科技部陈绍英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本书出售、求购地址：https://www.jiaokey.com/book/detail/14159605.html</w:t>
      </w:r>
    </w:p>
    <w:p>
      <w:r>
        <w:t>更多相关图书推荐：https://www.jiaokey.com</w:t>
      </w:r>
    </w:p>
    <w:p>
      <w:r>
        <w:t>中国民生银行信息科技部陈绍英 其他作品：https://www.jiaokey.com/tag/中国民生银行信息科技部陈绍英.html</w:t>
      </w:r>
    </w:p>
    <w:p>
      <w:r>
        <w:t>关键词搜索：https://www.jiaokey.com/tag/LoadRunner虚拟用户高级开发指南.html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