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命相生肖财运</w:t>
      </w:r>
    </w:p>
    <w:p>
      <w:r>
        <w:rPr>
          <w:rFonts w:ascii="宋体" w:hAnsi="宋体" w:eastAsia="宋体"/>
          <w:sz w:val="24"/>
        </w:rPr>
        <w:t>钟应堂编著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命相生肖财运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钟应堂编著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邓氏兄弟资料研究出版公司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本书出售、求购地址：https://www.jiaokey.com/book/detail/14158529.html</w:t>
      </w:r>
    </w:p>
    <w:p>
      <w:r>
        <w:t>更多相关图书推荐：https://www.jiaokey.com</w:t>
      </w:r>
    </w:p>
    <w:p>
      <w:r>
        <w:t>钟应堂编著 其他作品：https://www.jiaokey.com/tag/钟应堂编著.html</w:t>
      </w:r>
    </w:p>
    <w:p>
      <w:r>
        <w:t>邓氏兄弟资料研究出版公司 出版图书：https://www.jiaokey.com/tag/邓氏兄弟资料研究出版公司.html</w:t>
      </w:r>
    </w:p>
    <w:p>
      <w:r>
        <w:t>关键词搜索：https://www.jiaokey.com/tag/命相生肖财运.html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