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财税改革的理想与现实  宪政视角</w:t>
      </w:r>
    </w:p>
    <w:p>
      <w:r>
        <w:rPr>
          <w:rFonts w:ascii="宋体" w:hAnsi="宋体" w:eastAsia="宋体"/>
          <w:sz w:val="24"/>
        </w:rPr>
        <w:t>吴木离著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财税改革的理想与现实  宪政视角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吴木离著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本书出售、求购地址：https://www.jiaokey.com/book/detail/14157815.html</w:t>
      </w:r>
    </w:p>
    <w:p>
      <w:r>
        <w:t>更多相关图书推荐：https://www.jiaokey.com</w:t>
      </w:r>
    </w:p>
    <w:p>
      <w:r>
        <w:t>吴木离著 其他作品：https://www.jiaokey.com/tag/吴木离著.html</w:t>
      </w:r>
    </w:p>
    <w:p>
      <w:r>
        <w:t>关键词搜索：https://www.jiaokey.com/tag/财税改革的理想与现实  宪政视角.html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