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神经系统常见的体征、反射及综合症</w:t>
      </w:r>
    </w:p>
    <w:p>
      <w:r>
        <w:rPr>
          <w:rFonts w:ascii="宋体" w:hAnsi="宋体" w:eastAsia="宋体"/>
          <w:sz w:val="24"/>
        </w:rPr>
        <w:t>山西大同医专神经精神病学教研室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神经系统常见的体征、反射及综合症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山西大同医专神经精神病学教研室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雁北地区科技情报研究所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本书出售、求购地址：https://www.jiaokey.com/book/detail/14156575.html</w:t>
      </w:r>
    </w:p>
    <w:p>
      <w:r>
        <w:t>更多相关图书推荐：https://www.jiaokey.com</w:t>
      </w:r>
    </w:p>
    <w:p>
      <w:r>
        <w:t>山西大同医专神经精神病学教研室 其他作品：https://www.jiaokey.com/tag/山西大同医专神经精神病学教研室.html</w:t>
      </w:r>
    </w:p>
    <w:p>
      <w:r>
        <w:t>雁北地区科技情报研究所 出版图书：https://www.jiaokey.com/tag/雁北地区科技情报研究所.html</w:t>
      </w:r>
    </w:p>
    <w:p>
      <w:r>
        <w:t>关键词搜索：https://www.jiaokey.com/tag/神经系统常见的体征、反射及综合症.html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