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现代社会与审判  民事诉讼的地位和作用</w:t>
      </w:r>
    </w:p>
    <w:p>
      <w:r>
        <w:rPr>
          <w:rFonts w:ascii="宋体" w:hAnsi="宋体" w:eastAsia="宋体"/>
          <w:sz w:val="24"/>
        </w:rPr>
        <w:t>（日）田中成明著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现代社会与审判  民事诉讼的地位和作用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本书出售、求购地址：https://www.jiaokey.com/book/detail/14152394.html</w:t>
      </w:r>
    </w:p>
    <w:p>
      <w:r>
        <w:t>更多相关图书推荐：https://www.jiaokey.com</w:t>
      </w:r>
    </w:p>
    <w:p>
      <w:r>
        <w:t>（日）田中成明著 其他作品：https://www.jiaokey.com/tag/（日）田中成明著.html</w:t>
      </w:r>
    </w:p>
    <w:p>
      <w:r>
        <w:t>关键词搜索：https://www.jiaokey.com/tag/现代社会与审判  民事诉讼的地位和作用.html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