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《中华人民共和国科学技术进步法》贯彻实施与科学创新激励机制建设及研究项目经费申请规范实务全书</w:t>
      </w:r>
    </w:p>
    <w:p>
      <w:r>
        <w:rPr>
          <w:rFonts w:ascii="宋体" w:hAnsi="宋体" w:eastAsia="宋体"/>
          <w:sz w:val="24"/>
        </w:rPr>
        <w:t>李广学主编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《中华人民共和国科学技术进步法》贯彻实施与科学创新激励机制建设及研究项目经费申请规范实务全书</w:t>
            </w:r>
          </w:p>
        </w:tc>
      </w:tr>
      <w:tr>
        <w:tc>
          <w:tcPr>
            <w:tcW w:type="dxa" w:w="4320"/>
          </w:tcPr>
          <w:p>
            <w:r>
              <w:t>作者</w:t>
            </w:r>
          </w:p>
        </w:tc>
        <w:tc>
          <w:tcPr>
            <w:tcW w:type="dxa" w:w="4320"/>
          </w:tcPr>
          <w:p>
            <w:r>
              <w:t>李广学主编</w:t>
            </w:r>
          </w:p>
        </w:tc>
      </w:tr>
      <w:tr>
        <w:tc>
          <w:tcPr>
            <w:tcW w:type="dxa" w:w="4320"/>
          </w:tcPr>
          <w:p>
            <w:r>
              <w:t>出版社</w:t>
            </w:r>
          </w:p>
        </w:tc>
        <w:tc>
          <w:tcPr>
            <w:tcW w:type="dxa" w:w="4320"/>
          </w:tcPr>
          <w:p>
            <w:r>
              <w:t>北京：中国科学技术出版社</w:t>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400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本书出售、求购地址：https://www.jiaokey.com/book/detail/14148533.html</w:t>
      </w:r>
    </w:p>
    <w:p>
      <w:r>
        <w:t>更多相关图书推荐：https://www.jiaokey.com</w:t>
      </w:r>
    </w:p>
    <w:p>
      <w:r>
        <w:t>李广学主编 其他作品：https://www.jiaokey.com/tag/李广学主编.html</w:t>
      </w:r>
    </w:p>
    <w:p>
      <w:r>
        <w:t>北京：中国科学技术出版社 出版图书：https://www.jiaokey.com/tag/北京：中国科学技术出版社.html</w:t>
      </w:r>
    </w:p>
    <w:p>
      <w:r>
        <w:t>关键词搜索：https://www.jiaokey.com/tag/《中华人民共和国科学技术进步法》贯彻实施与科学创新激励机制建设及研究项目经费申请规范实务全书.html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