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  第3版</w:t>
      </w:r>
    </w:p>
    <w:p>
      <w:r>
        <w:rPr>
          <w:rFonts w:ascii="宋体" w:hAnsi="宋体" w:eastAsia="宋体"/>
          <w:sz w:val="24"/>
        </w:rPr>
        <w:t>陈晓龙，施庆生，邓晓卫编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陈晓龙，施庆生，邓晓卫编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本书出售、求购地址：https://www.jiaokey.com/book/detail/14145233.html</w:t>
      </w:r>
    </w:p>
    <w:p>
      <w:r>
        <w:t>更多相关图书推荐：https://www.jiaokey.com</w:t>
      </w:r>
    </w:p>
    <w:p>
      <w:r>
        <w:t>陈晓龙，施庆生，邓晓卫编 其他作品：https://www.jiaokey.com/tag/陈晓龙，施庆生，邓晓卫编.html</w:t>
      </w:r>
    </w:p>
    <w:p>
      <w:r>
        <w:t>化学工业出版社 出版图书：https://www.jiaokey.com/tag/化学工业出版社.html</w:t>
      </w:r>
    </w:p>
    <w:p>
      <w:r>
        <w:t>关键词搜索：https://www.jiaokey.com/tag/概率论与数理统计学习指导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