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战略的本质</w:t>
      </w:r>
    </w:p>
    <w:p>
      <w:r>
        <w:rPr>
          <w:rFonts w:ascii="宋体" w:hAnsi="宋体" w:eastAsia="宋体"/>
          <w:sz w:val="24"/>
        </w:rPr>
        <w:t>斯图尔特·克雷纳，戴斯·狄洛夫著；郝胜楠，王梦妮，刘馨蓓译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斯图尔特·克雷纳，戴斯·狄洛夫著；郝胜楠，王梦妮，刘馨蓓译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本书出售、求购地址：https://www.jiaokey.com/book/detail/14143859.html</w:t>
      </w:r>
    </w:p>
    <w:p>
      <w:r>
        <w:t>更多相关图书推荐：https://www.jiaokey.com</w:t>
      </w:r>
    </w:p>
    <w:p>
      <w:r>
        <w:t>斯图尔特·克雷纳，戴斯·狄洛夫著；郝胜楠，王梦妮，刘馨蓓译 其他作品：https://www.jiaokey.com/tag/斯图尔特·克雷纳，戴斯·狄洛夫著；郝胜楠，王梦妮，刘馨蓓译.html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