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中国城镇家庭消费报告  2016=Consumption reports of Chinese urban households 2016</w:t>
      </w:r>
    </w:p>
    <w:p>
      <w:r>
        <w:rPr>
          <w:rFonts w:ascii="宋体" w:hAnsi="宋体" w:eastAsia="宋体"/>
          <w:sz w:val="24"/>
        </w:rPr>
        <w:t>符国群主编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中国城镇家庭消费报告  2016=Consumption reports of Chinese urban households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符国群主编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本书出售、求购地址：https://www.jiaokey.com/book/detail/14143347.html</w:t>
      </w:r>
    </w:p>
    <w:p>
      <w:r>
        <w:t>更多相关图书推荐：https://www.jiaokey.com</w:t>
      </w:r>
    </w:p>
    <w:p>
      <w:r>
        <w:t>符国群主编 其他作品：https://www.jiaokey.com/tag/符国群主编.html</w:t>
      </w:r>
    </w:p>
    <w:p>
      <w:r>
        <w:t>关键词搜索：https://www.jiaokey.com/tag/中国城镇家庭消费报告  2016=Consumption reports of Chinese urban households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