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人民法院知识产权案例裁判要旨通纂  上卷</w:t>
      </w:r>
    </w:p>
    <w:p>
      <w:r>
        <w:rPr>
          <w:rFonts w:ascii="宋体" w:hAnsi="宋体" w:eastAsia="宋体"/>
          <w:sz w:val="24"/>
        </w:rPr>
        <w:t>吴汉东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人民法院知识产权案例裁判要旨通纂 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本书出售、求购地址：https://www.jiaokey.com/book/detail/14143269.html</w:t>
      </w:r>
    </w:p>
    <w:p>
      <w:r>
        <w:t>更多相关图书推荐：https://www.jiaokey.com</w:t>
      </w:r>
    </w:p>
    <w:p>
      <w:r>
        <w:t>吴汉东 其他作品：https://www.jiaokey.com/tag/吴汉东.html</w:t>
      </w:r>
    </w:p>
    <w:p>
      <w:r>
        <w:t>关键词搜索：https://www.jiaokey.com/tag/人民法院知识产权案例裁判要旨通纂 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