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视线DM生活速递&amp;广告  千年仙居特刊</w:t>
      </w:r>
    </w:p>
    <w:p>
      <w:r>
        <w:rPr>
          <w:rFonts w:ascii="宋体" w:hAnsi="宋体" w:eastAsia="宋体"/>
          <w:sz w:val="24"/>
        </w:rPr>
        <w:t>杭州麦凯广告有限公司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视线DM生活速递&amp;广告  千年仙居特刊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杭州麦凯广告有限公司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本书出售、求购地址：https://www.jiaokey.com/book/detail/14142112.html</w:t>
      </w:r>
    </w:p>
    <w:p>
      <w:r>
        <w:t>更多相关图书推荐：https://www.jiaokey.com</w:t>
      </w:r>
    </w:p>
    <w:p>
      <w:r>
        <w:t>杭州麦凯广告有限公司 其他作品：https://www.jiaokey.com/tag/杭州麦凯广告有限公司.html</w:t>
      </w:r>
    </w:p>
    <w:p>
      <w:r>
        <w:t>关键词搜索：https://www.jiaokey.com/tag/视线DM生活速递&amp;广告  千年仙居特刊.html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